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83" w:rsidRPr="004E1183" w:rsidRDefault="004E1183" w:rsidP="004E118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E118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9 декабря 2016 г. № 1582 “Об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отраслям)”</w:t>
      </w:r>
    </w:p>
    <w:p w:rsidR="004E1183" w:rsidRPr="004E1183" w:rsidRDefault="004E1183" w:rsidP="004E1183">
      <w:pPr>
        <w:spacing w:after="18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16 января 2017 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43, ст. 5976; 2016, № 2, ст. 325; № 8, ст. 1121; № 28, ст. 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33, ст. 4377; 2014, № 38, ст. 5069; 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2016, № 16, ст. 2230), а также в целях реализации пункта 3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 г. № 349-р (Собрание законодательства Российской Федерации, 2015, № 11, ст. 1629), приказываю:</w:t>
      </w:r>
      <w:proofErr w:type="gramEnd"/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Утвердить прилагаемый </w:t>
      </w:r>
      <w:hyperlink r:id="rId5" w:anchor="1000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федеральный государственный образовательный стандарт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637"/>
      </w:tblGrid>
      <w:tr w:rsidR="004E1183" w:rsidRPr="004E1183" w:rsidTr="004E1183">
        <w:tc>
          <w:tcPr>
            <w:tcW w:w="2500" w:type="pct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О.Ю. Васильева </w:t>
            </w:r>
          </w:p>
        </w:tc>
      </w:tr>
    </w:tbl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23 декабря 2016 г.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44917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4E1183" w:rsidRPr="004E1183" w:rsidRDefault="004E1183" w:rsidP="004E118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</w:t>
      </w:r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среднего профессионального образования по специальности</w:t>
      </w:r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15.02.14 Оснащение средствами автоматизации технологических процессов и производств (по отраслям)</w:t>
      </w:r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(утв. </w:t>
      </w:r>
      <w:hyperlink r:id="rId6" w:anchor="0" w:history="1">
        <w:r w:rsidRPr="004E1183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Министерства образования и науки РФ от 9 декабря 2016 г. № 1582)</w:t>
      </w:r>
    </w:p>
    <w:p w:rsidR="004E1183" w:rsidRPr="004E1183" w:rsidRDefault="004E1183" w:rsidP="004E118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15.02.14 Оснащение средствами автоматизации технологических процессов и производств (по отраслям) (далее - специальность).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r:id="rId7" w:anchor="11000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1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настоящему ФГОС СПО.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25 Ракетно-космическая промышленность; 26 Химическое, химико-технологическое производство; 28 Производство машин и оборудования; 29 Производство электрооборудования, электронного и оптического оборудования; 31 Автомобилестроение; 32 Авиастроение; 40 Сквозные виды профессиональной деятельности в промышленности</w:t>
      </w:r>
      <w:hyperlink r:id="rId8" w:anchor="11111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1.6. 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r:id="rId9" w:anchor="22222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базе основного общего образования - 3 года 10 месяцев;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 базе среднего общего образования - 2 года 10 месяцев.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чем на 1 год при получении образования на базе среднего общего образования.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1.12. 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 г. № 1199 (зарегистрирован Министерством юстиции Российской Федерации 26 декабря 2013 г., регистрационный № 30861), с изменениями, внесенными приказами Министерства образования и науки Российской Федерации от 14 мая 2014 г. № 518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(зарегистрирован Министерством юстиции Российской Федерации 28 мая 2014 г., регистрационный № 32461), от 18 ноября 2015 г. № 1350 (зарегистрирован Министерством юстиции Российской Федерации 3 декабря 2015 г., регистрационный № 39955) и от 25 ноября 2016 г. № 1477 (зарегистрирован Министерством юстиции Российской Федерации 12 декабря 2016 г., регистрационный № 44662):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техник.</w:t>
      </w:r>
    </w:p>
    <w:p w:rsidR="004E1183" w:rsidRPr="004E1183" w:rsidRDefault="004E1183" w:rsidP="004E118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Требования к структуре образовательной программы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r:id="rId10" w:anchor="1300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главой III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настоящего 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ФГОС СПО, и должна составлять не более 70 процентов от общего объема времени, отведенного на ее освоение.</w:t>
      </w:r>
      <w:bookmarkStart w:id="1" w:name="_GoBack"/>
      <w:bookmarkEnd w:id="1"/>
    </w:p>
    <w:p w:rsidR="004E1183" w:rsidRPr="00516BC1" w:rsidRDefault="004E1183" w:rsidP="004E1183">
      <w:pPr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516BC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516BC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о(</w:t>
      </w:r>
      <w:proofErr w:type="spellStart"/>
      <w:proofErr w:type="gramEnd"/>
      <w:r w:rsidRPr="00516BC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ых</w:t>
      </w:r>
      <w:proofErr w:type="spellEnd"/>
      <w:r w:rsidRPr="00516BC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) вида(</w:t>
      </w:r>
      <w:proofErr w:type="spellStart"/>
      <w:r w:rsidRPr="00516BC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ов</w:t>
      </w:r>
      <w:proofErr w:type="spellEnd"/>
      <w:r w:rsidRPr="00516BC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r:id="rId11" w:anchor="1112" w:history="1">
        <w:r w:rsidRPr="00516BC1">
          <w:rPr>
            <w:rFonts w:ascii="Arial" w:eastAsia="Times New Roman" w:hAnsi="Arial" w:cs="Arial"/>
            <w:color w:val="FF0000"/>
            <w:sz w:val="23"/>
            <w:szCs w:val="23"/>
            <w:u w:val="single"/>
            <w:bdr w:val="none" w:sz="0" w:space="0" w:color="auto" w:frame="1"/>
            <w:lang w:eastAsia="ru-RU"/>
          </w:rPr>
          <w:t>пункте 1.12</w:t>
        </w:r>
      </w:hyperlink>
      <w:r w:rsidRPr="00516BC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4E1183" w:rsidRPr="005253A8" w:rsidRDefault="004E1183" w:rsidP="004E1183">
      <w:pPr>
        <w:spacing w:after="255" w:line="270" w:lineRule="atLeast"/>
        <w:rPr>
          <w:rFonts w:ascii="Arial" w:eastAsia="Times New Roman" w:hAnsi="Arial" w:cs="Arial"/>
          <w:color w:val="548DD4" w:themeColor="text2" w:themeTint="99"/>
          <w:sz w:val="23"/>
          <w:szCs w:val="23"/>
          <w:lang w:eastAsia="ru-RU"/>
        </w:rPr>
      </w:pPr>
      <w:r w:rsidRPr="005253A8">
        <w:rPr>
          <w:rFonts w:ascii="Arial" w:eastAsia="Times New Roman" w:hAnsi="Arial" w:cs="Arial"/>
          <w:color w:val="548DD4" w:themeColor="text2" w:themeTint="99"/>
          <w:sz w:val="23"/>
          <w:szCs w:val="23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Образовательная программа имеет следующую структуру: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гуманитарный и социально-экономический цикл;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математический и общий естественнонаучный цикл;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общепрофессиональный цикл;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профессиональный цикл;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r:id="rId12" w:anchor="1112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1.12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настоящего ФГОС СПО.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</w:t>
      </w:r>
    </w:p>
    <w:p w:rsidR="004E1183" w:rsidRPr="004E1183" w:rsidRDefault="004E1183" w:rsidP="004E118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Структура и объем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5"/>
        <w:gridCol w:w="2840"/>
      </w:tblGrid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Структура образовательной программы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Объем образовательной программы в академических часах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 менее 468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 менее 144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Общепрофессиональный цикл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 менее 612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 менее 1728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216 </w:t>
            </w:r>
          </w:p>
        </w:tc>
      </w:tr>
      <w:tr w:rsidR="004E1183" w:rsidRPr="004E1183" w:rsidTr="004E1183">
        <w:tc>
          <w:tcPr>
            <w:tcW w:w="0" w:type="auto"/>
            <w:gridSpan w:val="2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Общий объем образовательной программы: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4464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5940 </w:t>
            </w:r>
          </w:p>
        </w:tc>
      </w:tr>
    </w:tbl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2.3. Перечень, содержание, 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108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предусмотренного </w:t>
      </w:r>
      <w:hyperlink r:id="rId13" w:anchor="1201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Таблицей 1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108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В учебные циклы включается промежуточная аттестация обучающихся, которая 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«Иностранный язык в профессиональной деятельности», «Физическая культура».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объем дисциплины «Физическая культура»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4E1183" w:rsidRPr="000C108F" w:rsidRDefault="004E1183" w:rsidP="004E1183">
      <w:pPr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C108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Учебная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4E1183" w:rsidRPr="000C108F" w:rsidRDefault="004E1183" w:rsidP="004E1183">
      <w:pPr>
        <w:spacing w:after="255" w:line="270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C108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6E2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 xml:space="preserve">2.9. </w:t>
      </w:r>
      <w:proofErr w:type="gramStart"/>
      <w:r w:rsidRPr="00C026E2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Pr="00C026E2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4E1183" w:rsidRPr="004E1183" w:rsidRDefault="004E1183" w:rsidP="004E118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результатам освоения образовательной программы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):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ОК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10. Пользоваться профессиональной документацией на государственном и иностранном языках.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11. Планировать предпринимательскую деятельность в профессиональной сфере.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r:id="rId14" w:anchor="1112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1.12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настоящего ФГОС СПО: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разработку и компьютерное моделирование элементов систем автоматизации с учетом специфики технологических процессов;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сборку и апробацию моделей элементов систем автоматизации с учетом специфики технологических процессов;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организовывать монтаж, наладку и техническое обслуживание систем и средств автоматизации;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текущий мониторинг состояния систем автоматизации.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r:id="rId15" w:anchor="12000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2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настоящему ФГОС СПО.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3.4.1. Осуществлять разработку и компьютерное моделирование элементов систем автоматизации с учетом специфики технологических процессов: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1.2. Разрабатывать виртуальную модель элементов систем автоматизации на основе выбранного программного обеспечения и технического задания.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1.3. Проводить виртуальное тестирование разработанной модели элементов систем автоматизации для оценки функциональности компонентов.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1.4. Формировать пакет технической документации на разработанную модель элементов систем автоматизации.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3.4.2. Осуществлять сборку и апробацию моделей элементов систем автоматизации с учетом специфики технологических процессов: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2.2. Осуществлять монтаж и наладку модели элементов систем автоматизации на основе разработанной технической документации.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3.4.3. Организовывать монтаж, наладку и техническое обслуживание систем и средств автоматизации: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3.1. 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3.2. Организовывать материально-техническое обеспечение работ по монтажу, наладке и техническому обслуживанию систем и средств автоматизации.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3.3. 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3.4. Организовывать выполнение производственных заданий подчиненным персоналом.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3.5. 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3.4.4. Осуществлять текущий мониторинг состояния систем автоматизации: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4.2. Осуществлять диагностику причин возможных неисправностей и отказов систем для выбора методов и способов их устранения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4.3. Организовывать работы по устранению неполадок, отказов оборудования и ремонту систем в рамках своей компетенции.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r:id="rId16" w:anchor="13000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3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настоящему ФГОС СПО.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ПК, установленных настоящим ФГОС СПО.</w:t>
      </w:r>
    </w:p>
    <w:p w:rsidR="004E1183" w:rsidRPr="004E1183" w:rsidRDefault="004E1183" w:rsidP="004E118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условиям реализации образовательной программы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4.2. Общесистемные требования к условиям реализации образовательной программы.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ПК.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26E2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lastRenderedPageBreak/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C026E2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обучающихся</w:t>
      </w:r>
      <w:proofErr w:type="gramEnd"/>
      <w:r w:rsidRPr="00C026E2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 xml:space="preserve"> к электронно-библиотечной системе (электронной библиотеке).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Требования к кадровым условиям реализации образовательной программы.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4.4.1. 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Реализация образовательной программы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r:id="rId17" w:anchor="1015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1.5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r:id="rId18" w:anchor="1015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1.5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r:id="rId19" w:anchor="1015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1.5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Требования к финансовым условиям реализации образовательной программы.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Требования к применяемым механизмам оценки качества образовательной программы.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4.6.3. 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Приказ Министерства труда и социальной защиты Российской Федерации от 29 сентября 2014 г. № 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 г., регистрационный № 34779).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См. статью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23, ст. 2933; № 26, ст. 3388; № 30, ст. 4217, ст. 4257, ст. 4263; 2015, № 1, ст. 42, ст. 53, ст. 72; № 14, ст. 2008, № 18, ст. 2625; № 27, ст. 3951, ст. 3989; № 29, ст. 4339, ст. 4364; № 51, ст. 7241; 2016, № 1, ст. 8, ст. 9, ст. 24, ст. 72, ст. 78;</w:t>
      </w:r>
      <w:proofErr w:type="gramEnd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10, ст. 1320; № 23, ст. 3289, ст. 3290; № 27, ст. 4160, ст. 4219, ст. 4223, ст. 4238, ст. 4239, ст. 4245, ст. 4246, ст. 4292).</w:t>
      </w:r>
      <w:proofErr w:type="gramEnd"/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к </w:t>
      </w:r>
      <w:hyperlink r:id="rId20" w:anchor="1000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ФГОС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СПО по специальности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15.02.14 Оснащение средствами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автоматизации технологических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процессов и производств (по отраслям)</w:t>
      </w:r>
    </w:p>
    <w:p w:rsidR="004E1183" w:rsidRPr="004E1183" w:rsidRDefault="004E1183" w:rsidP="004E118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6950"/>
      </w:tblGrid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Код профессионального стандарта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Наименование профессионального стандарта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28.003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Профессиональный стандарт «Специалист по автоматизации и механизации технологических процессов механосборочного производства», утвержден приказом Министерства труда и социальной защиты Российской Федерации от 8 сентября 2015 г. </w:t>
            </w: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№ 606н (зарегистрирован Министерством юстиции Российской Федерации 24 сентября 2015 г., регистрационный № 38991) </w:t>
            </w:r>
          </w:p>
        </w:tc>
      </w:tr>
    </w:tbl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№ 2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к </w:t>
      </w:r>
      <w:hyperlink r:id="rId21" w:anchor="1000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ФГОС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СПО по специальности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15.02.14 Оснащение средствами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автоматизации технологических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процессов и производств (по отраслям)</w:t>
      </w:r>
    </w:p>
    <w:p w:rsidR="004E1183" w:rsidRPr="004E1183" w:rsidRDefault="004E1183" w:rsidP="004E118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9"/>
        <w:gridCol w:w="2386"/>
      </w:tblGrid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E11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 г. № 513 (зарегистрирован Министерством юстиции Российской Федерации 8 августа 2013 г., регистрационный № 29322), с изменениями, внесенными приказами Министерства образования и науки Российской Федерации от 16 декабря 2013 г. № 1348 (зарегистрирован Министерством юстиции Российской Федерации 29 января</w:t>
            </w:r>
            <w:proofErr w:type="gramEnd"/>
            <w:r w:rsidRPr="004E11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11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2014 г., регистрационный № 31163), от 28 марта 2014 г. № 244 (зарегистрирован Министерством юстиции Российской Федерации 15 апреля 2014 г., регистрационный № 31953) и от 27 июня 2014 г. № 695 (зарегистрирован Министерством юстиции Российской Федерации 22 июля 2014 г., регистрационный № 33205) </w:t>
            </w:r>
            <w:proofErr w:type="gramEnd"/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Наименование профессий рабочих, должностей служащих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18494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Слесарь по контрольно-измерительным приборам и автоматике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14919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Наладчик контрольно-измерительных приборов и автоматики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14899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Наладчик автоматических линий и агрегатных станков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14901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Наладчик автоматов и полуавтоматов </w:t>
            </w:r>
          </w:p>
        </w:tc>
      </w:tr>
    </w:tbl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к </w:t>
      </w:r>
      <w:hyperlink r:id="rId22" w:anchor="1000" w:history="1">
        <w:r w:rsidRPr="004E118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ФГОС</w:t>
        </w:r>
      </w:hyperlink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СПО по специальности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15.02.14 Оснащение средствами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автоматизации технологических</w:t>
      </w: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процессов и производств (по отраслям)</w:t>
      </w:r>
    </w:p>
    <w:p w:rsidR="004E1183" w:rsidRPr="004E1183" w:rsidRDefault="004E1183" w:rsidP="004E118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Минимальные требования к результатам </w:t>
      </w:r>
      <w:proofErr w:type="gramStart"/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4E11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по специальности 15.02.14 Оснащение средствами автоматизации технологических процессов и производств (по отраслям)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6080"/>
      </w:tblGrid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Основной вид деятельности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Требования к знаниям, умениям, практическому опыту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Осуществлять разработку и компьютерное моделирование элементов систем автоматизации с учетом специфики технологических процессов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знать: назначение элементов и блоков систем управления, особенности их работы, возможности практического применения, основные динамические характеристики элементов и систем элементов управления; технические характеристики элементов систем автоматизации, принципиальные электрические схемы; принципы и методы автоматизированного проектирования технических систем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меть: анализировать технические проекты и другую техническую документацию для выбора программного обеспечения для создания модели элементов систем автоматизации. иметь практический опыт в: анализе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задания; разработке виртуальной модели элементов систем автоматизации на основе выбранного программного обеспечения и технического задания; проведении виртуального 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тестирования разработанной модели элементов систем автоматизации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оценки функциональности компонентов; формировании пакета технической документации на разработанную модель элементов систем автоматизации.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Осуществлять сборку и апробацию моделей элементов систем автоматизации с учетом специфики технологических процессов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знать: теоретические основы и принципы построения автоматизированных систем управления; типовые схемы автоматизации основных технологических процессов отрасли; структурно-</w:t>
            </w:r>
            <w:proofErr w:type="spell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алгоритмичную</w:t>
            </w:r>
            <w:proofErr w:type="spell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организацию систем управления и их основные функциональные модули; устройство, схемные и конструктивные особенности элементов; метрологическое обеспечение автоматизированных систем; нормативные требования по проведению монтажных и наладочных работ автоматизированных систем; технологию монтажа и наладки оборудования автоматизированных систем с учетом специфики технологических процессов;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методы оптимизации работы элементов автоматизированных систем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меть: анализировать техническую документацию на выполнение монтажных работ с целью определения эффективности методов монтажа и рационального выбора элементной базы; читать принципиальные структурные схемы, схемы автоматизации, схемы соединений и подключений; подбирать оборудование, элементную базу и средства измерения систем автоматизации в соответствии с условиями технического задания; оценивать качество моделей элементов систем автоматизации; выполнять монтажные работы проверенных моделей элементов систем автоматизации на основе разработанной технической документацией; выбирать необходимые средства измерений и автоматизации с обоснованием выбора; производить наладку моделей элементов систем автоматизации; проводить испытания моделей элементов систем автоматизации с использованием контрольно-диагностических приборов, с целью подтверждения их работоспособности и адекватности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меть практический опыт в: осуществлении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 осуществлении монтажа и наладки модели элементов систем автоматизации на основе разработанной технической документации; проведении 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испытаний модели элементов систем автоматизации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реальных условиях с целью </w:t>
            </w: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подтверждения работоспособности и возможной оптимизации.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Организовывать монтаж, наладку и техническое обслуживание систем и средств автоматизации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знать: действующие локальные нормативные акты производства, регулирующие производственно-хозяйственную деятельность; отраслевые примеры отечественной и зарубежной практики организации труда; порядок разработки и оформления технической документации; методы планирования, контроля и оценки работ подчиненного персонала; методы оценки качества выполняемых работ; правила охраны труда, противопожарной и экологической безопасности, правила внутреннего трудового распорядка; виды, периодичность и правила оформления инструктажа;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организацию производственного и технологического процесса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меть: разрабатывать текущую и плановую документацию по монтажу, наладке и техническому обслуживанию систем и средств автоматизации; организовывать рабочие места, согласно требованиям охраны труда и отраслевым стандартам; разрабатывать инструкции и технологические карты на выполнение работ; на основе установленных производственных показателей оценивать качество выполняемых работ для повышения их эффективности; использовать средства материальной и нематериальной мотивации подчиненного персонала для повышения эффективности решения производственных задач; контролировать выполнение подчиненными производственных заданий на всех стадиях работ; поддерживать безопасные условия труда при монтаже, наладке и техническом обслуживании средств автоматизации и механизации; разрабатывать предложения по улучшению работы на рабочем месте с учетом принципов бережливого производства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меть практический опыт в: 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 организации материально-технического обеспечения работ по монтажу, наладке и техническом обслуживании систем и средств автоматизации, выполнении производственных заданий персоналом; разработке инструкций и технологических карт; выполнении работ для подчиненного персонала по монтажу, наладке и техническому обслуживанию систем и средств автоматизации; контроле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производства. </w:t>
            </w:r>
          </w:p>
        </w:tc>
      </w:tr>
      <w:tr w:rsidR="004E1183" w:rsidRPr="004E1183" w:rsidTr="004E1183"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Осуществлять текущий мониторинг состояния систем автоматизации </w:t>
            </w:r>
          </w:p>
        </w:tc>
        <w:tc>
          <w:tcPr>
            <w:tcW w:w="0" w:type="auto"/>
            <w:hideMark/>
          </w:tcPr>
          <w:p w:rsidR="004E1183" w:rsidRPr="004E1183" w:rsidRDefault="004E1183" w:rsidP="004E11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знать: типовые средства измерений систем автоматизации, их область применения, устройство и конструктивные особенности; основные технологические параметры устройств и функциональных блоков систем автоматизации и методы их измерения; технические и метрологические характеристики устройств и функциональных блоков систем автоматизации; методы диагностики и восстановления работоспособности устройств и функциональных блоков систем автоматизации; показатели надежности элементов систем автоматизации;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правила эксплуатации устройств и функциональных блоков систем автоматизации; порядок и периодичность планово-предупредительного и </w:t>
            </w:r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профилактического ремонта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меть: осуществлять технический контроль соответствия параметров устройств и функциональных блоков систем автоматизации установленным нормативам; выбирать методы диагностики и средства измерений для выявления причин неисправностей и отказов; на основе показателей технических средств диагностики оценивать работоспособность устройств и функциональных блоков систем автоматизации; рассчитывать показатели надежности устройств и функциональных блоков систем автоматизации; выявлять причины неисправностей и отказов устройств и функциональных блоков систем автоматизации с помощью визуального контроля и технической диагностики; вести постоянный учет отказов, сбоев для выявления и устранения причин их возникновения; организовывать и контролировать работу персонала по проведению текущего ремонта средств и систем контроля, функциональных блоков систем автоматического управления с помощью измерений и испытаний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4E1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меть практический опыт в: контроле текущих параметров и фактических показателей работы систем автоматизации в соответствии с требованиями нормативно-технической документации для выявления возможных отклонений; диагностике причин возможных неисправностей и отказов систем для выбора методов и способов их устранения; организации работы по устранению неполадок, отказов оборудования и ремонту систем в рамках своей компетенции. </w:t>
            </w:r>
          </w:p>
        </w:tc>
      </w:tr>
    </w:tbl>
    <w:p w:rsidR="004E1183" w:rsidRPr="004E1183" w:rsidRDefault="004E1183" w:rsidP="004E118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4E118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4E1183" w:rsidRPr="004E1183" w:rsidRDefault="007119B9" w:rsidP="004E1183">
      <w:pPr>
        <w:spacing w:before="255"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 федеральный государственный образовательный стандарт среднего профессионального образования по специальности "Оснащение средствами автоматизации технологических процессов и производств (по отраслям)" (15.02.14).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 представляет собой совокупность обязательных требований к среднему профессиональному образованию по указанной специальности.</w:t>
      </w:r>
    </w:p>
    <w:p w:rsidR="004E1183" w:rsidRPr="004E1183" w:rsidRDefault="004E1183" w:rsidP="004E1183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4E1183" w:rsidRPr="004E1183" w:rsidRDefault="004E1183" w:rsidP="004E1183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1183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4E1183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eastAsia="ru-RU"/>
        </w:rPr>
        <w:t>Интернет-версии</w:t>
      </w:r>
      <w:proofErr w:type="gramEnd"/>
      <w:r w:rsidRPr="004E1183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eastAsia="ru-RU"/>
        </w:rPr>
        <w:t xml:space="preserve"> системы ГАРАНТ:</w:t>
      </w:r>
      <w:r w:rsidRPr="004E11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4E1183" w:rsidRPr="004E1183" w:rsidRDefault="004E1183" w:rsidP="004E11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E118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E1183" w:rsidRPr="004E1183" w:rsidRDefault="004E1183" w:rsidP="004E1183">
      <w:pPr>
        <w:spacing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23" o:title=""/>
          </v:shape>
          <w:control r:id="rId24" w:name="DefaultOcxName" w:shapeid="_x0000_i1031"/>
        </w:object>
      </w:r>
    </w:p>
    <w:p w:rsidR="004E1183" w:rsidRPr="004E1183" w:rsidRDefault="004E1183" w:rsidP="004E1183">
      <w:pPr>
        <w:spacing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1183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035" type="#_x0000_t75" style="width:60.5pt;height:18.15pt" o:ole="">
            <v:imagedata r:id="rId25" o:title=""/>
          </v:shape>
          <w:control r:id="rId26" w:name="DefaultOcxName1" w:shapeid="_x0000_i1035"/>
        </w:object>
      </w:r>
    </w:p>
    <w:p w:rsidR="004E1183" w:rsidRPr="004E1183" w:rsidRDefault="004E1183" w:rsidP="004E118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E118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146FC" w:rsidRDefault="004146FC"/>
    <w:sectPr w:rsidR="0041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83"/>
    <w:rsid w:val="000C108F"/>
    <w:rsid w:val="004146FC"/>
    <w:rsid w:val="004E1183"/>
    <w:rsid w:val="00516BC1"/>
    <w:rsid w:val="005253A8"/>
    <w:rsid w:val="005E41AA"/>
    <w:rsid w:val="007119B9"/>
    <w:rsid w:val="00C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183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4E1183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183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183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customStyle="1" w:styleId="info5">
    <w:name w:val="info5"/>
    <w:basedOn w:val="a0"/>
    <w:rsid w:val="004E1183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11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11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11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118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183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4E1183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183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183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customStyle="1" w:styleId="info5">
    <w:name w:val="info5"/>
    <w:basedOn w:val="a0"/>
    <w:rsid w:val="004E1183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11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11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11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118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994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842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5279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476322/" TargetMode="External"/><Relationship Id="rId13" Type="http://schemas.openxmlformats.org/officeDocument/2006/relationships/hyperlink" Target="https://www.garant.ru/products/ipo/prime/doc/71476322/" TargetMode="External"/><Relationship Id="rId18" Type="http://schemas.openxmlformats.org/officeDocument/2006/relationships/hyperlink" Target="https://www.garant.ru/products/ipo/prime/doc/71476322/" TargetMode="External"/><Relationship Id="rId26" Type="http://schemas.openxmlformats.org/officeDocument/2006/relationships/control" Target="activeX/activeX2.xm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1476322/" TargetMode="External"/><Relationship Id="rId7" Type="http://schemas.openxmlformats.org/officeDocument/2006/relationships/hyperlink" Target="https://www.garant.ru/products/ipo/prime/doc/71476322/" TargetMode="External"/><Relationship Id="rId12" Type="http://schemas.openxmlformats.org/officeDocument/2006/relationships/hyperlink" Target="https://www.garant.ru/products/ipo/prime/doc/71476322/" TargetMode="External"/><Relationship Id="rId17" Type="http://schemas.openxmlformats.org/officeDocument/2006/relationships/hyperlink" Target="https://www.garant.ru/products/ipo/prime/doc/71476322/" TargetMode="External"/><Relationship Id="rId25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1476322/" TargetMode="External"/><Relationship Id="rId20" Type="http://schemas.openxmlformats.org/officeDocument/2006/relationships/hyperlink" Target="https://www.garant.ru/products/ipo/prime/doc/714763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476322/" TargetMode="External"/><Relationship Id="rId11" Type="http://schemas.openxmlformats.org/officeDocument/2006/relationships/hyperlink" Target="https://www.garant.ru/products/ipo/prime/doc/71476322/" TargetMode="External"/><Relationship Id="rId24" Type="http://schemas.openxmlformats.org/officeDocument/2006/relationships/control" Target="activeX/activeX1.xml"/><Relationship Id="rId5" Type="http://schemas.openxmlformats.org/officeDocument/2006/relationships/hyperlink" Target="https://www.garant.ru/products/ipo/prime/doc/71476322/" TargetMode="External"/><Relationship Id="rId15" Type="http://schemas.openxmlformats.org/officeDocument/2006/relationships/hyperlink" Target="https://www.garant.ru/products/ipo/prime/doc/71476322/" TargetMode="External"/><Relationship Id="rId23" Type="http://schemas.openxmlformats.org/officeDocument/2006/relationships/image" Target="media/image1.wmf"/><Relationship Id="rId28" Type="http://schemas.openxmlformats.org/officeDocument/2006/relationships/theme" Target="theme/theme1.xml"/><Relationship Id="rId10" Type="http://schemas.openxmlformats.org/officeDocument/2006/relationships/hyperlink" Target="https://www.garant.ru/products/ipo/prime/doc/71476322/" TargetMode="External"/><Relationship Id="rId19" Type="http://schemas.openxmlformats.org/officeDocument/2006/relationships/hyperlink" Target="https://www.garant.ru/products/ipo/prime/doc/714763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476322/" TargetMode="External"/><Relationship Id="rId14" Type="http://schemas.openxmlformats.org/officeDocument/2006/relationships/hyperlink" Target="https://www.garant.ru/products/ipo/prime/doc/71476322/" TargetMode="External"/><Relationship Id="rId22" Type="http://schemas.openxmlformats.org/officeDocument/2006/relationships/hyperlink" Target="https://www.garant.ru/products/ipo/prime/doc/71476322/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15</Pages>
  <Words>6082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2019-11-27T04:25:00Z</dcterms:created>
  <dcterms:modified xsi:type="dcterms:W3CDTF">2019-12-20T09:17:00Z</dcterms:modified>
</cp:coreProperties>
</file>